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1F5" w:rsidRDefault="00B461F5" w:rsidP="00B461F5">
      <w:r>
        <w:t>QUESTIONS REGARDING:</w:t>
      </w:r>
    </w:p>
    <w:p w:rsidR="00B461F5" w:rsidRDefault="00B461F5" w:rsidP="00B461F5">
      <w:pPr>
        <w:pStyle w:val="ListParagraph"/>
        <w:numPr>
          <w:ilvl w:val="0"/>
          <w:numId w:val="1"/>
        </w:numPr>
      </w:pPr>
      <w:r>
        <w:t>THEFT OF PERSONAL PROPERTY</w:t>
      </w:r>
    </w:p>
    <w:p w:rsidR="00B461F5" w:rsidRDefault="00B461F5" w:rsidP="00B461F5">
      <w:pPr>
        <w:pStyle w:val="ListParagraph"/>
        <w:numPr>
          <w:ilvl w:val="0"/>
          <w:numId w:val="1"/>
        </w:numPr>
      </w:pPr>
      <w:r>
        <w:t>HARDEST HIT FUNDS</w:t>
      </w:r>
    </w:p>
    <w:p w:rsidR="00B461F5" w:rsidRDefault="00B461F5" w:rsidP="00B461F5"/>
    <w:p w:rsidR="00B461F5" w:rsidRDefault="00B461F5" w:rsidP="00B461F5">
      <w:r>
        <w:t xml:space="preserve">When I purchased the vacant Mishawaka, IN asset, the rear door had been rekeyed and the home contained a large amount of personal property.    The BPO agents took pictures of the personal items and placed a lock box on the back door. The home has not been trashed out--only inspected, photographed and grass cut to avoid city code violations. </w:t>
      </w:r>
    </w:p>
    <w:p w:rsidR="00B461F5" w:rsidRDefault="00B461F5" w:rsidP="00B461F5"/>
    <w:p w:rsidR="00B461F5" w:rsidRDefault="00B461F5" w:rsidP="00B461F5">
      <w:r>
        <w:t xml:space="preserve">The asset is now boarded with </w:t>
      </w:r>
      <w:proofErr w:type="gramStart"/>
      <w:r>
        <w:t>Allied</w:t>
      </w:r>
      <w:proofErr w:type="gramEnd"/>
      <w:r>
        <w:t xml:space="preserve">. They have contacted the borrower who </w:t>
      </w:r>
      <w:proofErr w:type="gramStart"/>
      <w:r>
        <w:t>would  like</w:t>
      </w:r>
      <w:proofErr w:type="gramEnd"/>
      <w:r>
        <w:t xml:space="preserve"> to keep the home vs deed in lieu.  He was instructed by   the hardest hit fund counselor to turn on utilities </w:t>
      </w:r>
      <w:proofErr w:type="gramStart"/>
      <w:r>
        <w:t>and  move</w:t>
      </w:r>
      <w:proofErr w:type="gramEnd"/>
      <w:r>
        <w:t xml:space="preserve"> back into the home so as to qualify for the HHF. Allied thinks he is a great candidate for HHF </w:t>
      </w:r>
      <w:proofErr w:type="gramStart"/>
      <w:r>
        <w:t>due  to</w:t>
      </w:r>
      <w:proofErr w:type="gramEnd"/>
      <w:r>
        <w:t xml:space="preserve"> being unemployed and now on long term disability.   He would to mod his</w:t>
      </w:r>
      <w:proofErr w:type="gramStart"/>
      <w:r>
        <w:t>  adjustable</w:t>
      </w:r>
      <w:proofErr w:type="gramEnd"/>
      <w:r>
        <w:t xml:space="preserve"> rate loan. </w:t>
      </w:r>
    </w:p>
    <w:p w:rsidR="00B461F5" w:rsidRDefault="00B461F5" w:rsidP="00B461F5"/>
    <w:p w:rsidR="00B461F5" w:rsidRDefault="00B461F5" w:rsidP="00B461F5">
      <w:r>
        <w:t xml:space="preserve">Yesterday, on a subsequent call to the borrower from Allied, he threatened a law suit because he claims his gun safe was removed from the home. I have pictures from 2 different agents showing the </w:t>
      </w:r>
      <w:r>
        <w:rPr>
          <w:highlight w:val="yellow"/>
        </w:rPr>
        <w:t>drilled out</w:t>
      </w:r>
      <w:r>
        <w:t xml:space="preserve"> safe was still on premises as of 11/25 taken during their property inspection. I also have email from the </w:t>
      </w:r>
      <w:proofErr w:type="gramStart"/>
      <w:r>
        <w:t>2 agents claiming no knowledge of the removing the safe.</w:t>
      </w:r>
      <w:proofErr w:type="gramEnd"/>
      <w:r>
        <w:t xml:space="preserve"> </w:t>
      </w:r>
      <w:proofErr w:type="spellStart"/>
      <w:r>
        <w:t>On</w:t>
      </w:r>
      <w:proofErr w:type="spellEnd"/>
      <w:r>
        <w:t xml:space="preserve"> of the agents noted the rear window showed signs of forced    entry.</w:t>
      </w:r>
    </w:p>
    <w:p w:rsidR="00B461F5" w:rsidRDefault="00B461F5" w:rsidP="00B461F5"/>
    <w:p w:rsidR="00B461F5" w:rsidRDefault="00B461F5" w:rsidP="00B461F5">
      <w:r>
        <w:t>Note specifics:</w:t>
      </w:r>
    </w:p>
    <w:tbl>
      <w:tblPr>
        <w:tblW w:w="668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0"/>
        <w:gridCol w:w="1720"/>
        <w:gridCol w:w="900"/>
        <w:gridCol w:w="1160"/>
      </w:tblGrid>
      <w:tr w:rsidR="00B461F5" w:rsidTr="00B461F5">
        <w:trPr>
          <w:trHeight w:val="340"/>
        </w:trPr>
        <w:tc>
          <w:tcPr>
            <w:tcW w:w="2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0AD4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1F5" w:rsidRDefault="00B461F5">
            <w:pPr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624 E. MARION ST</w:t>
            </w:r>
          </w:p>
        </w:tc>
        <w:tc>
          <w:tcPr>
            <w:tcW w:w="1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0AD4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1F5" w:rsidRDefault="00B461F5">
            <w:pPr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MISHAWAKA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0AD4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1F5" w:rsidRDefault="00B461F5">
            <w:pPr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IN</w:t>
            </w:r>
          </w:p>
        </w:tc>
        <w:tc>
          <w:tcPr>
            <w:tcW w:w="1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0AD4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1F5" w:rsidRDefault="00B461F5">
            <w:pPr>
              <w:rPr>
                <w:rFonts w:ascii="Browallia New" w:hAnsi="Browallia New" w:cs="Browallia New"/>
                <w:sz w:val="24"/>
                <w:szCs w:val="24"/>
              </w:rPr>
            </w:pPr>
            <w:r>
              <w:rPr>
                <w:rFonts w:ascii="Browallia New" w:hAnsi="Browallia New" w:cs="Browallia New"/>
                <w:sz w:val="24"/>
                <w:szCs w:val="24"/>
              </w:rPr>
              <w:t>46545</w:t>
            </w:r>
          </w:p>
        </w:tc>
      </w:tr>
    </w:tbl>
    <w:p w:rsidR="00B461F5" w:rsidRDefault="00B461F5" w:rsidP="00B461F5">
      <w:r>
        <w:t>2/1/1</w:t>
      </w:r>
    </w:p>
    <w:p w:rsidR="00B461F5" w:rsidRDefault="00B461F5" w:rsidP="00B461F5">
      <w:r>
        <w:t>UPB                                                                                                            $56300</w:t>
      </w:r>
    </w:p>
    <w:p w:rsidR="00B461F5" w:rsidRDefault="00B461F5" w:rsidP="00B461F5">
      <w:pPr>
        <w:ind w:firstLine="720"/>
      </w:pPr>
      <w:r>
        <w:t>Plus--LATES                                                                                 $8500</w:t>
      </w:r>
    </w:p>
    <w:p w:rsidR="00B461F5" w:rsidRDefault="00B461F5" w:rsidP="00B461F5">
      <w:pPr>
        <w:ind w:firstLine="720"/>
      </w:pPr>
      <w:r>
        <w:t xml:space="preserve">Plus--TAXES PAID BY CHASE TO BRING CURRENT              </w:t>
      </w:r>
      <w:r>
        <w:rPr>
          <w:u w:val="single"/>
        </w:rPr>
        <w:t>$7000</w:t>
      </w:r>
      <w:r>
        <w:t xml:space="preserve">   </w:t>
      </w:r>
    </w:p>
    <w:p w:rsidR="00B461F5" w:rsidRDefault="00B461F5" w:rsidP="00B461F5">
      <w:r>
        <w:t>TOTAL DUE                                                                                                             $71,800+/-</w:t>
      </w:r>
    </w:p>
    <w:p w:rsidR="00B461F5" w:rsidRDefault="00B461F5" w:rsidP="00B461F5">
      <w:r>
        <w:t>INTEREST RATE                                                                8%</w:t>
      </w:r>
    </w:p>
    <w:p w:rsidR="00B461F5" w:rsidRDefault="00B461F5" w:rsidP="00B461F5">
      <w:r>
        <w:t>CURRENT MONTHLY PAYMENT</w:t>
      </w:r>
      <w:proofErr w:type="gramStart"/>
      <w:r>
        <w:t>  P</w:t>
      </w:r>
      <w:proofErr w:type="gramEnd"/>
      <w:r>
        <w:t xml:space="preserve"> &amp; I                   $460.58</w:t>
      </w:r>
    </w:p>
    <w:p w:rsidR="00B461F5" w:rsidRDefault="00B461F5" w:rsidP="00B461F5">
      <w:r>
        <w:t>BPO VALUE RANGE-                                                   $65,000-70,000</w:t>
      </w:r>
    </w:p>
    <w:p w:rsidR="00B461F5" w:rsidRDefault="00B461F5" w:rsidP="00B461F5">
      <w:r>
        <w:t>LAST PAYMENT                                                           7/24/12</w:t>
      </w:r>
    </w:p>
    <w:p w:rsidR="00B461F5" w:rsidRDefault="00B461F5" w:rsidP="00B461F5"/>
    <w:p w:rsidR="00B461F5" w:rsidRDefault="00B461F5" w:rsidP="00B461F5">
      <w:r>
        <w:t>Title is clean—the first is the only lien on the asset.</w:t>
      </w:r>
    </w:p>
    <w:p w:rsidR="00B461F5" w:rsidRDefault="00B461F5" w:rsidP="00B461F5"/>
    <w:p w:rsidR="00B461F5" w:rsidRDefault="00B461F5" w:rsidP="00B461F5">
      <w:proofErr w:type="gramStart"/>
      <w:r>
        <w:t>Suggestions?</w:t>
      </w:r>
      <w:proofErr w:type="gramEnd"/>
    </w:p>
    <w:p w:rsidR="004F2A9B" w:rsidRDefault="00B461F5"/>
    <w:p w:rsidR="00B461F5" w:rsidRDefault="00B461F5">
      <w:r>
        <w:t>Dave Franecki</w:t>
      </w:r>
      <w:bookmarkStart w:id="0" w:name="_GoBack"/>
      <w:bookmarkEnd w:id="0"/>
    </w:p>
    <w:sectPr w:rsidR="00B46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131D9"/>
    <w:multiLevelType w:val="hybridMultilevel"/>
    <w:tmpl w:val="3E42E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1F5"/>
    <w:rsid w:val="00AD193F"/>
    <w:rsid w:val="00B461F5"/>
    <w:rsid w:val="00D3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F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1F5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1F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1F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Czarina</dc:creator>
  <cp:lastModifiedBy>Czarina</cp:lastModifiedBy>
  <cp:revision>1</cp:revision>
  <dcterms:created xsi:type="dcterms:W3CDTF">2013-12-17T21:38:00Z</dcterms:created>
  <dcterms:modified xsi:type="dcterms:W3CDTF">2013-12-17T21:39:00Z</dcterms:modified>
</cp:coreProperties>
</file>